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19E42" w14:textId="30A497F2" w:rsidR="005B5EEC" w:rsidRPr="005B5EEC" w:rsidRDefault="005B5EEC" w:rsidP="00DA4576">
      <w:r w:rsidRPr="005B5EEC">
        <w:rPr>
          <w:b/>
        </w:rPr>
        <w:t>Rationale</w:t>
      </w:r>
      <w:r w:rsidR="00E70905">
        <w:t xml:space="preserve">: Ferumoxytol (Feraheme) </w:t>
      </w:r>
      <w:r w:rsidRPr="005B5EEC">
        <w:t>is approved for use as an iron replacement therapy</w:t>
      </w:r>
      <w:r w:rsidR="00782560">
        <w:t xml:space="preserve"> in patients with chronic renal disease</w:t>
      </w:r>
      <w:r w:rsidRPr="005B5EEC">
        <w:t>.</w:t>
      </w:r>
      <w:r w:rsidR="00DA4576">
        <w:t xml:space="preserve"> </w:t>
      </w:r>
      <w:r w:rsidRPr="005B5EEC">
        <w:t xml:space="preserve"> The agent </w:t>
      </w:r>
      <w:r w:rsidR="00E70905">
        <w:t>can also be used off-label as an MR</w:t>
      </w:r>
      <w:r w:rsidR="00EE2A6A">
        <w:t>I</w:t>
      </w:r>
      <w:r w:rsidR="00E70905">
        <w:t xml:space="preserve"> contrast agent.</w:t>
      </w:r>
      <w:r w:rsidRPr="005B5EEC">
        <w:t xml:space="preserve"> </w:t>
      </w:r>
    </w:p>
    <w:p w14:paraId="5B312803" w14:textId="0746D1DD" w:rsidR="005B5EEC" w:rsidRDefault="005B5EEC" w:rsidP="005B5EEC">
      <w:pPr>
        <w:pStyle w:val="ListParagraph"/>
        <w:numPr>
          <w:ilvl w:val="0"/>
          <w:numId w:val="1"/>
        </w:numPr>
      </w:pPr>
      <w:r w:rsidRPr="005B5EEC">
        <w:rPr>
          <w:u w:val="single"/>
        </w:rPr>
        <w:t>Pharmacokinetics</w:t>
      </w:r>
      <w:r w:rsidRPr="005B5EEC">
        <w:t xml:space="preserve">: Due to its large particle size, </w:t>
      </w:r>
      <w:r w:rsidR="00EE2A6A">
        <w:t>this blood pool agent</w:t>
      </w:r>
      <w:r w:rsidRPr="005B5EEC">
        <w:t xml:space="preserve"> remains in the intravascular space for much longer than typical gadolinium containing contrast agents.  Over time (days to weeks) the agent is processed by the reticuloendothelial system and will eventually collect in the reticuloendothelial syst</w:t>
      </w:r>
      <w:r w:rsidR="00DA4576">
        <w:t>em (i</w:t>
      </w:r>
      <w:r w:rsidR="00EE2A6A">
        <w:t>.</w:t>
      </w:r>
      <w:r w:rsidR="00DA4576">
        <w:t>e</w:t>
      </w:r>
      <w:r w:rsidR="00EE2A6A">
        <w:t>.,</w:t>
      </w:r>
      <w:r w:rsidR="00DA4576">
        <w:t xml:space="preserve"> the liver and spleen)</w:t>
      </w:r>
      <w:r w:rsidRPr="005B5EEC">
        <w:t xml:space="preserve">.  </w:t>
      </w:r>
    </w:p>
    <w:p w14:paraId="07D8D35C" w14:textId="77777777" w:rsidR="00DA4576" w:rsidRDefault="005B5EEC" w:rsidP="005B5EEC">
      <w:pPr>
        <w:pStyle w:val="ListParagraph"/>
        <w:numPr>
          <w:ilvl w:val="0"/>
          <w:numId w:val="1"/>
        </w:numPr>
      </w:pPr>
      <w:r w:rsidRPr="005B5EEC">
        <w:rPr>
          <w:u w:val="single"/>
        </w:rPr>
        <w:t>Safety profile</w:t>
      </w:r>
      <w:r w:rsidRPr="005B5EEC">
        <w:t xml:space="preserve">: </w:t>
      </w:r>
      <w:r>
        <w:t xml:space="preserve">The major concern is the development of </w:t>
      </w:r>
      <w:r w:rsidRPr="005B5EEC">
        <w:rPr>
          <w:b/>
          <w:u w:val="single"/>
        </w:rPr>
        <w:t>anaphylaxis</w:t>
      </w:r>
      <w:r>
        <w:t xml:space="preserve">, which occurs in roughly 1:10,000 patients and death occurring in 1:50,000 patients.  </w:t>
      </w:r>
      <w:r w:rsidR="00DA4576">
        <w:t>In 2015, the FDA released a box warning for Ferumoxytol outlining the risk of anaphylaxis</w:t>
      </w:r>
    </w:p>
    <w:p w14:paraId="243122DA" w14:textId="77777777" w:rsidR="005B5EEC" w:rsidRPr="005B5EEC" w:rsidRDefault="005B5EEC" w:rsidP="00DA4576">
      <w:pPr>
        <w:pStyle w:val="ListParagraph"/>
        <w:numPr>
          <w:ilvl w:val="1"/>
          <w:numId w:val="1"/>
        </w:numPr>
      </w:pPr>
      <w:r>
        <w:t xml:space="preserve">Additionally, </w:t>
      </w:r>
      <w:r w:rsidRPr="005B5EEC">
        <w:t xml:space="preserve">the most common adverse reactions are nausea (3.1%), dizziness (2.6%), hypotension (2.0%) and peripheral edema (2.0%). </w:t>
      </w:r>
    </w:p>
    <w:p w14:paraId="0C12C20A" w14:textId="74A67E90" w:rsidR="005B5EEC" w:rsidRDefault="005B5EEC" w:rsidP="00DA4576">
      <w:r w:rsidRPr="005B5EEC">
        <w:rPr>
          <w:b/>
        </w:rPr>
        <w:t>Indications</w:t>
      </w:r>
      <w:r w:rsidR="00091E99">
        <w:t xml:space="preserve">: </w:t>
      </w:r>
      <w:r w:rsidRPr="005B5EEC">
        <w:t xml:space="preserve">Although ferumoxytol is not approved for use as an MRI contrast agent, it has no known nephrotoxicity </w:t>
      </w:r>
      <w:r w:rsidR="00E70905">
        <w:t xml:space="preserve">and may be considered </w:t>
      </w:r>
      <w:r w:rsidR="00E70905" w:rsidRPr="00091E99">
        <w:rPr>
          <w:i/>
        </w:rPr>
        <w:t>when there is clinical benefit of</w:t>
      </w:r>
      <w:r w:rsidR="00091E99">
        <w:rPr>
          <w:i/>
        </w:rPr>
        <w:t xml:space="preserve"> ferumoxytol</w:t>
      </w:r>
      <w:r w:rsidR="00EE2A6A">
        <w:rPr>
          <w:i/>
        </w:rPr>
        <w:t>-</w:t>
      </w:r>
      <w:r w:rsidR="00E70905" w:rsidRPr="00091E99">
        <w:rPr>
          <w:i/>
        </w:rPr>
        <w:t>enhanced MR</w:t>
      </w:r>
      <w:r w:rsidR="00091E99" w:rsidRPr="00091E99">
        <w:rPr>
          <w:i/>
        </w:rPr>
        <w:t>I that outweigh</w:t>
      </w:r>
      <w:r w:rsidR="00E70905" w:rsidRPr="00091E99">
        <w:rPr>
          <w:i/>
        </w:rPr>
        <w:t>s the risk of allergic reaction</w:t>
      </w:r>
      <w:r w:rsidR="00E70905">
        <w:t>.</w:t>
      </w:r>
      <w:r w:rsidR="00EE2A6A">
        <w:t xml:space="preserve"> </w:t>
      </w:r>
      <w:r w:rsidR="0035184E">
        <w:t>Specifically, ferumoxytol may be used</w:t>
      </w:r>
      <w:r w:rsidR="00EE2A6A">
        <w:t xml:space="preserve"> </w:t>
      </w:r>
      <w:r w:rsidR="00BA5288">
        <w:t>when its role as a</w:t>
      </w:r>
      <w:r w:rsidR="00EE2A6A">
        <w:t xml:space="preserve"> blood pool MRI contrast agent is </w:t>
      </w:r>
      <w:r w:rsidR="00BA5288">
        <w:t>deemed clinically indicated by both the referring provider and radiologist.</w:t>
      </w:r>
      <w:r w:rsidR="0035184E">
        <w:t xml:space="preserve"> This scenario is likely to arise when longer, gated cardiovascular MRI sequences are required, or for venography.</w:t>
      </w:r>
    </w:p>
    <w:p w14:paraId="46AABFFE" w14:textId="77777777" w:rsidR="00DA4576" w:rsidRDefault="00DA4576" w:rsidP="00DA4576">
      <w:pPr>
        <w:ind w:left="-360"/>
      </w:pPr>
    </w:p>
    <w:p w14:paraId="1F943C42" w14:textId="77777777" w:rsidR="00DA4576" w:rsidRPr="00DA4576" w:rsidRDefault="00DA4576" w:rsidP="00DA4576">
      <w:r w:rsidRPr="00DA4576">
        <w:rPr>
          <w:b/>
        </w:rPr>
        <w:t>Protocol</w:t>
      </w:r>
      <w:r w:rsidRPr="00DA4576">
        <w:t>:</w:t>
      </w:r>
    </w:p>
    <w:p w14:paraId="14D8604F" w14:textId="4FF0D297" w:rsidR="00DA4576" w:rsidRDefault="00DA4576" w:rsidP="00DA4576">
      <w:pPr>
        <w:pStyle w:val="ListParagraph"/>
        <w:numPr>
          <w:ilvl w:val="0"/>
          <w:numId w:val="1"/>
        </w:numPr>
      </w:pPr>
      <w:r w:rsidRPr="00DA4576">
        <w:rPr>
          <w:u w:val="single"/>
        </w:rPr>
        <w:t>Patient screening</w:t>
      </w:r>
      <w:r w:rsidRPr="00DA4576">
        <w:t xml:space="preserve">: </w:t>
      </w:r>
      <w:r w:rsidR="00F157BC">
        <w:t>all studies should be approved by an attending radiologist</w:t>
      </w:r>
      <w:r w:rsidR="0045280E">
        <w:t>.</w:t>
      </w:r>
    </w:p>
    <w:p w14:paraId="5525E78B" w14:textId="229E649A" w:rsidR="00DA4576" w:rsidRDefault="00DA4576" w:rsidP="00DA4576">
      <w:pPr>
        <w:pStyle w:val="ListParagraph"/>
        <w:numPr>
          <w:ilvl w:val="1"/>
          <w:numId w:val="1"/>
        </w:numPr>
      </w:pPr>
      <w:r>
        <w:t>Consent is re</w:t>
      </w:r>
      <w:r w:rsidR="00F157BC">
        <w:t>quired prior to administration (can be obtained by trainee)</w:t>
      </w:r>
      <w:r w:rsidR="009F5B9C">
        <w:t xml:space="preserve"> using standard procedure consent form</w:t>
      </w:r>
    </w:p>
    <w:p w14:paraId="5758874A" w14:textId="21954ACE" w:rsidR="008D52E2" w:rsidRDefault="00F157BC" w:rsidP="008D52E2">
      <w:pPr>
        <w:pStyle w:val="ListParagraph"/>
        <w:numPr>
          <w:ilvl w:val="1"/>
          <w:numId w:val="1"/>
        </w:numPr>
      </w:pPr>
      <w:r>
        <w:t>Ferumoxytol i</w:t>
      </w:r>
      <w:r w:rsidR="00DA4576">
        <w:t>s contraindicated in patients with history of allergic reactions to iron fo</w:t>
      </w:r>
      <w:r w:rsidR="00B2744C">
        <w:t xml:space="preserve">rmulations (iron dextran, </w:t>
      </w:r>
      <w:proofErr w:type="spellStart"/>
      <w:r w:rsidR="00B2744C">
        <w:t>ferrle</w:t>
      </w:r>
      <w:r w:rsidR="00DA4576">
        <w:t>cit</w:t>
      </w:r>
      <w:proofErr w:type="spellEnd"/>
      <w:r w:rsidR="00DA4576">
        <w:t xml:space="preserve"> or </w:t>
      </w:r>
      <w:proofErr w:type="spellStart"/>
      <w:r w:rsidR="00DA4576">
        <w:t>venofer</w:t>
      </w:r>
      <w:proofErr w:type="spellEnd"/>
      <w:r w:rsidR="00DA4576">
        <w:t>)</w:t>
      </w:r>
      <w:r w:rsidR="008D52E2">
        <w:t>.</w:t>
      </w:r>
    </w:p>
    <w:p w14:paraId="79753C40" w14:textId="04D58D27" w:rsidR="008D52E2" w:rsidRPr="00DA4576" w:rsidRDefault="008D52E2" w:rsidP="008D52E2">
      <w:pPr>
        <w:pStyle w:val="ListParagraph"/>
        <w:numPr>
          <w:ilvl w:val="1"/>
          <w:numId w:val="1"/>
        </w:numPr>
      </w:pPr>
      <w:r>
        <w:t>Consider</w:t>
      </w:r>
      <w:r w:rsidR="00E70905">
        <w:t xml:space="preserve"> carefully the</w:t>
      </w:r>
      <w:r>
        <w:t xml:space="preserve"> risk of allergic reaction in patients with multiple drug allergies or serious medical conditions.</w:t>
      </w:r>
    </w:p>
    <w:p w14:paraId="271DD6E8" w14:textId="77777777" w:rsidR="00DA4576" w:rsidRDefault="00DA4576" w:rsidP="00DA4576">
      <w:pPr>
        <w:pStyle w:val="ListParagraph"/>
        <w:numPr>
          <w:ilvl w:val="0"/>
          <w:numId w:val="1"/>
        </w:numPr>
      </w:pPr>
      <w:r w:rsidRPr="00DA4576">
        <w:rPr>
          <w:u w:val="single"/>
        </w:rPr>
        <w:t>Administration</w:t>
      </w:r>
      <w:r w:rsidRPr="00DA4576">
        <w:t xml:space="preserve">: Ferumoxytol </w:t>
      </w:r>
      <w:r>
        <w:t>comes in a</w:t>
      </w:r>
      <w:r w:rsidRPr="00DA4576">
        <w:t xml:space="preserve"> </w:t>
      </w:r>
      <w:r>
        <w:t xml:space="preserve">17 mL vial with </w:t>
      </w:r>
      <w:r w:rsidRPr="00DA4576">
        <w:t xml:space="preserve">510 mg </w:t>
      </w:r>
      <w:r>
        <w:t xml:space="preserve">of iron </w:t>
      </w:r>
      <w:r w:rsidRPr="00DA4576">
        <w:t>(30 mg / mL).</w:t>
      </w:r>
    </w:p>
    <w:p w14:paraId="3ECA3D53" w14:textId="203381C2" w:rsidR="00B2744C" w:rsidRDefault="00DA4576" w:rsidP="00DA4576">
      <w:pPr>
        <w:pStyle w:val="ListParagraph"/>
        <w:numPr>
          <w:ilvl w:val="1"/>
          <w:numId w:val="1"/>
        </w:numPr>
      </w:pPr>
      <w:r w:rsidRPr="00DA4576">
        <w:t>Dilution:</w:t>
      </w:r>
      <w:r>
        <w:t xml:space="preserve"> </w:t>
      </w:r>
      <w:r w:rsidRPr="00782560">
        <w:rPr>
          <w:i/>
        </w:rPr>
        <w:t>The agent will be diluted with saline</w:t>
      </w:r>
      <w:r w:rsidR="009F5B9C" w:rsidRPr="00782560">
        <w:rPr>
          <w:i/>
        </w:rPr>
        <w:t xml:space="preserve"> by </w:t>
      </w:r>
      <w:r w:rsidR="00782560" w:rsidRPr="00782560">
        <w:rPr>
          <w:i/>
        </w:rPr>
        <w:t>pharmacy</w:t>
      </w:r>
      <w:r>
        <w:t xml:space="preserve"> (12 mL of Ferumoxytol with 48 mLs of s</w:t>
      </w:r>
      <w:r w:rsidR="00B2744C">
        <w:t>aline</w:t>
      </w:r>
      <w:r w:rsidR="00F157BC">
        <w:t xml:space="preserve"> to make a total volume of 60 mLs</w:t>
      </w:r>
      <w:r w:rsidR="00B2744C">
        <w:t xml:space="preserve">). </w:t>
      </w:r>
    </w:p>
    <w:p w14:paraId="6F9F7815" w14:textId="57FA9DBE" w:rsidR="00DA4576" w:rsidRDefault="00EE2A6A" w:rsidP="00B2744C">
      <w:pPr>
        <w:pStyle w:val="ListParagraph"/>
        <w:numPr>
          <w:ilvl w:val="2"/>
          <w:numId w:val="1"/>
        </w:numPr>
      </w:pPr>
      <w:r>
        <w:t>Typical steady-</w:t>
      </w:r>
      <w:r w:rsidR="00B2744C">
        <w:t>state ima</w:t>
      </w:r>
      <w:r>
        <w:t>ging uses</w:t>
      </w:r>
      <w:r w:rsidR="008D52E2">
        <w:t xml:space="preserve"> 40 mLs of dilu</w:t>
      </w:r>
      <w:r w:rsidR="00B2744C">
        <w:t>ted agent</w:t>
      </w:r>
      <w:r w:rsidR="008D52E2">
        <w:t xml:space="preserve"> (</w:t>
      </w:r>
      <w:r w:rsidR="00E70905">
        <w:t>1-5</w:t>
      </w:r>
      <w:r w:rsidR="008D52E2">
        <w:t xml:space="preserve"> mg </w:t>
      </w:r>
      <w:r>
        <w:t>/</w:t>
      </w:r>
      <w:r w:rsidR="008D52E2">
        <w:t>kg)</w:t>
      </w:r>
      <w:r w:rsidR="00B2744C">
        <w:t>.</w:t>
      </w:r>
    </w:p>
    <w:p w14:paraId="245558DE" w14:textId="00F031E2" w:rsidR="00F157BC" w:rsidRPr="00DA4576" w:rsidRDefault="00F157BC" w:rsidP="00F157BC">
      <w:pPr>
        <w:pStyle w:val="ListParagraph"/>
        <w:numPr>
          <w:ilvl w:val="2"/>
          <w:numId w:val="1"/>
        </w:numPr>
      </w:pPr>
      <w:r w:rsidRPr="00DA4576">
        <w:t xml:space="preserve">A test bolus is not required prior to administration.  </w:t>
      </w:r>
      <w:bookmarkStart w:id="0" w:name="_GoBack"/>
      <w:bookmarkEnd w:id="0"/>
    </w:p>
    <w:p w14:paraId="005BC909" w14:textId="5311EC7F" w:rsidR="00F157BC" w:rsidRDefault="00091E99" w:rsidP="00DA4576">
      <w:pPr>
        <w:pStyle w:val="ListParagraph"/>
        <w:numPr>
          <w:ilvl w:val="1"/>
          <w:numId w:val="1"/>
        </w:numPr>
      </w:pPr>
      <w:r>
        <w:t>Infusion</w:t>
      </w:r>
      <w:r w:rsidR="00F157BC">
        <w:t xml:space="preserve"> should only be performed </w:t>
      </w:r>
      <w:r w:rsidR="008D52E2">
        <w:t>in the hospital setting where</w:t>
      </w:r>
      <w:r w:rsidR="00F157BC">
        <w:t xml:space="preserve"> nursing an</w:t>
      </w:r>
      <w:r w:rsidR="008D52E2">
        <w:t>d physician support is available</w:t>
      </w:r>
      <w:r w:rsidR="00564237">
        <w:t xml:space="preserve"> during regular bu</w:t>
      </w:r>
      <w:r w:rsidR="009F5B9C">
        <w:t>siness hours on a gurney</w:t>
      </w:r>
      <w:r w:rsidR="00564237">
        <w:t>.</w:t>
      </w:r>
    </w:p>
    <w:p w14:paraId="53CEC326" w14:textId="71AAB6A0" w:rsidR="00DA4576" w:rsidRDefault="00DA4576" w:rsidP="00DA4576">
      <w:pPr>
        <w:pStyle w:val="ListParagraph"/>
        <w:numPr>
          <w:ilvl w:val="1"/>
          <w:numId w:val="1"/>
        </w:numPr>
      </w:pPr>
      <w:r>
        <w:t xml:space="preserve">Whenever possible, the diluted agent should be injected as a </w:t>
      </w:r>
      <w:r w:rsidRPr="00EE2A6A">
        <w:rPr>
          <w:b/>
        </w:rPr>
        <w:t>slow infusion</w:t>
      </w:r>
      <w:r>
        <w:t xml:space="preserve"> in the h</w:t>
      </w:r>
      <w:r w:rsidR="00B2744C">
        <w:t>olding room prior to MR imaging.</w:t>
      </w:r>
    </w:p>
    <w:p w14:paraId="3E217D05" w14:textId="573EE823" w:rsidR="00DA4576" w:rsidRPr="00DA4576" w:rsidRDefault="00DA4576" w:rsidP="00F157BC">
      <w:pPr>
        <w:pStyle w:val="ListParagraph"/>
        <w:numPr>
          <w:ilvl w:val="2"/>
          <w:numId w:val="1"/>
        </w:numPr>
      </w:pPr>
      <w:r>
        <w:t>As protocoled, certain indications may require dynamic imaging and injection may occur within the magnet at a rat</w:t>
      </w:r>
      <w:r w:rsidR="00F157BC">
        <w:t xml:space="preserve">e of </w:t>
      </w:r>
      <w:r w:rsidR="002D54E5">
        <w:t>1-</w:t>
      </w:r>
      <w:r w:rsidR="00EE2A6A">
        <w:t>2 mL/s followed by a saline bolus.</w:t>
      </w:r>
      <w:r w:rsidR="00F157BC">
        <w:t xml:space="preserve"> Injection should be observed by nursing </w:t>
      </w:r>
      <w:r w:rsidR="00564237">
        <w:t>or physician staff</w:t>
      </w:r>
      <w:r w:rsidR="00F157BC">
        <w:t>.</w:t>
      </w:r>
    </w:p>
    <w:p w14:paraId="647772D3" w14:textId="4D3B7DED" w:rsidR="00504991" w:rsidRPr="005B5EEC" w:rsidRDefault="00DA4576" w:rsidP="008D52E2">
      <w:pPr>
        <w:pStyle w:val="ListParagraph"/>
        <w:numPr>
          <w:ilvl w:val="0"/>
          <w:numId w:val="1"/>
        </w:numPr>
      </w:pPr>
      <w:r w:rsidRPr="0029501F">
        <w:rPr>
          <w:u w:val="single"/>
        </w:rPr>
        <w:t>Observation</w:t>
      </w:r>
      <w:r w:rsidRPr="00DA4576">
        <w:t xml:space="preserve">: </w:t>
      </w:r>
      <w:r w:rsidR="00EE2A6A">
        <w:t>D</w:t>
      </w:r>
      <w:r w:rsidR="00F157BC">
        <w:t xml:space="preserve">uring injection patients should be observed for signs of anaphylaxis.  Additionally patients should be queried about symptoms </w:t>
      </w:r>
      <w:r w:rsidR="008D52E2">
        <w:t>of reaction (</w:t>
      </w:r>
      <w:r w:rsidR="008D52E2" w:rsidRPr="008D52E2">
        <w:t>dizziness, light headedness, trouble breathing</w:t>
      </w:r>
      <w:r w:rsidR="008D52E2">
        <w:t>)</w:t>
      </w:r>
      <w:r w:rsidR="00F157BC">
        <w:t xml:space="preserve"> prior to leaving the imaging facility.</w:t>
      </w:r>
      <w:r w:rsidR="0029501F">
        <w:t xml:space="preserve"> Patients should not leave</w:t>
      </w:r>
      <w:r w:rsidR="00564237">
        <w:t xml:space="preserve"> the department until at least </w:t>
      </w:r>
      <w:r w:rsidR="00564237" w:rsidRPr="00EE2A6A">
        <w:rPr>
          <w:b/>
        </w:rPr>
        <w:t>3</w:t>
      </w:r>
      <w:r w:rsidR="0029501F" w:rsidRPr="00EE2A6A">
        <w:rPr>
          <w:b/>
        </w:rPr>
        <w:t>0 minutes</w:t>
      </w:r>
      <w:r w:rsidR="0029501F">
        <w:t xml:space="preserve"> after Ferumoxytol administration.</w:t>
      </w:r>
    </w:p>
    <w:sectPr w:rsidR="00504991" w:rsidRPr="005B5EEC" w:rsidSect="00DA45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5F2F6" w14:textId="77777777" w:rsidR="00DA3869" w:rsidRDefault="00DA3869" w:rsidP="005B5EEC">
      <w:r>
        <w:separator/>
      </w:r>
    </w:p>
  </w:endnote>
  <w:endnote w:type="continuationSeparator" w:id="0">
    <w:p w14:paraId="64AEBD59" w14:textId="77777777" w:rsidR="00DA3869" w:rsidRDefault="00DA3869" w:rsidP="005B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3D48D" w14:textId="5496E0C7" w:rsidR="00564237" w:rsidRPr="00DA4576" w:rsidRDefault="00564237" w:rsidP="00DA4576">
    <w:pPr>
      <w:pStyle w:val="Footer"/>
      <w:jc w:val="center"/>
      <w:rPr>
        <w:i/>
      </w:rPr>
    </w:pPr>
    <w:r w:rsidRPr="00DA4576">
      <w:rPr>
        <w:i/>
      </w:rPr>
      <w:t>U</w:t>
    </w:r>
    <w:r w:rsidR="00EE2A6A">
      <w:rPr>
        <w:i/>
      </w:rPr>
      <w:t>CSF MR Safety C</w:t>
    </w:r>
    <w:r w:rsidRPr="00DA4576">
      <w:rPr>
        <w:i/>
      </w:rPr>
      <w:t>ommittee: Ferumoxytol a</w:t>
    </w:r>
    <w:r w:rsidR="00F35EA4">
      <w:rPr>
        <w:i/>
      </w:rPr>
      <w:t xml:space="preserve">dministration guidelines: </w:t>
    </w:r>
    <w:r w:rsidR="00B33D31">
      <w:rPr>
        <w:i/>
      </w:rPr>
      <w:t>April 5</w:t>
    </w:r>
    <w:r w:rsidR="00B33D31" w:rsidRPr="00B33D31">
      <w:rPr>
        <w:i/>
        <w:vertAlign w:val="superscript"/>
      </w:rPr>
      <w:t>th</w:t>
    </w:r>
    <w:r w:rsidR="00B33D31">
      <w:rPr>
        <w:i/>
      </w:rPr>
      <w:t>, 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F3511" w14:textId="77777777" w:rsidR="00DA3869" w:rsidRDefault="00DA3869" w:rsidP="005B5EEC">
      <w:r>
        <w:separator/>
      </w:r>
    </w:p>
  </w:footnote>
  <w:footnote w:type="continuationSeparator" w:id="0">
    <w:p w14:paraId="2AEA8932" w14:textId="77777777" w:rsidR="00DA3869" w:rsidRDefault="00DA3869" w:rsidP="005B5E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4"/>
      <w:gridCol w:w="3092"/>
    </w:tblGrid>
    <w:tr w:rsidR="00564237" w14:paraId="7AE3CFD7" w14:textId="77777777" w:rsidTr="005B5EEC">
      <w:tc>
        <w:tcPr>
          <w:tcW w:w="6948" w:type="dxa"/>
        </w:tcPr>
        <w:p w14:paraId="0F3E95C7" w14:textId="77777777" w:rsidR="00564237" w:rsidRPr="005B5EEC" w:rsidRDefault="00564237" w:rsidP="005B5EEC">
          <w:pPr>
            <w:tabs>
              <w:tab w:val="left" w:pos="6930"/>
            </w:tabs>
            <w:rPr>
              <w:sz w:val="44"/>
              <w:szCs w:val="44"/>
            </w:rPr>
          </w:pPr>
          <w:r w:rsidRPr="005B5EEC">
            <w:rPr>
              <w:sz w:val="44"/>
              <w:szCs w:val="44"/>
            </w:rPr>
            <w:t xml:space="preserve">UCSF Ferumoxytol </w:t>
          </w:r>
        </w:p>
        <w:p w14:paraId="203108BB" w14:textId="50CAE47F" w:rsidR="00564237" w:rsidRPr="00E70905" w:rsidRDefault="00564237" w:rsidP="005B5EEC">
          <w:pPr>
            <w:tabs>
              <w:tab w:val="left" w:pos="6930"/>
            </w:tabs>
          </w:pPr>
          <w:r w:rsidRPr="005B5EEC">
            <w:rPr>
              <w:sz w:val="32"/>
              <w:szCs w:val="32"/>
            </w:rPr>
            <w:t>Administration Guidelines</w:t>
          </w:r>
          <w:r>
            <w:t xml:space="preserve">       </w:t>
          </w:r>
        </w:p>
      </w:tc>
      <w:tc>
        <w:tcPr>
          <w:tcW w:w="3168" w:type="dxa"/>
        </w:tcPr>
        <w:p w14:paraId="1428C394" w14:textId="77777777" w:rsidR="00564237" w:rsidRDefault="00564237" w:rsidP="005B5EEC">
          <w:pPr>
            <w:tabs>
              <w:tab w:val="left" w:pos="6930"/>
            </w:tabs>
            <w:rPr>
              <w:sz w:val="32"/>
              <w:szCs w:val="32"/>
            </w:rPr>
          </w:pPr>
          <w:r>
            <w:rPr>
              <w:noProof/>
            </w:rPr>
            <w:drawing>
              <wp:inline distT="0" distB="0" distL="0" distR="0" wp14:anchorId="4B248E32" wp14:editId="6473FD57">
                <wp:extent cx="1412240" cy="699980"/>
                <wp:effectExtent l="0" t="0" r="10160" b="11430"/>
                <wp:docPr id="1" name="Picture 1" descr="Macintosh HD:Users:thope:Desktop:UCSF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hope:Desktop:UCSF_logo-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50" cy="700233"/>
                        </a:xfrm>
                        <a:prstGeom prst="rect">
                          <a:avLst/>
                        </a:prstGeom>
                        <a:noFill/>
                        <a:ln>
                          <a:noFill/>
                        </a:ln>
                      </pic:spPr>
                    </pic:pic>
                  </a:graphicData>
                </a:graphic>
              </wp:inline>
            </w:drawing>
          </w:r>
        </w:p>
      </w:tc>
    </w:tr>
  </w:tbl>
  <w:p w14:paraId="10A96B76" w14:textId="77777777" w:rsidR="00564237" w:rsidRDefault="005642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0A66"/>
    <w:multiLevelType w:val="hybridMultilevel"/>
    <w:tmpl w:val="4572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A6218"/>
    <w:multiLevelType w:val="hybridMultilevel"/>
    <w:tmpl w:val="144AA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EC"/>
    <w:rsid w:val="00091E99"/>
    <w:rsid w:val="00277254"/>
    <w:rsid w:val="0029501F"/>
    <w:rsid w:val="002C54FE"/>
    <w:rsid w:val="002D54E5"/>
    <w:rsid w:val="0035184E"/>
    <w:rsid w:val="0045280E"/>
    <w:rsid w:val="00504991"/>
    <w:rsid w:val="00564237"/>
    <w:rsid w:val="005B5EEC"/>
    <w:rsid w:val="00782560"/>
    <w:rsid w:val="008D52E2"/>
    <w:rsid w:val="009F5B9C"/>
    <w:rsid w:val="00B2744C"/>
    <w:rsid w:val="00B33D31"/>
    <w:rsid w:val="00BA5288"/>
    <w:rsid w:val="00DA3869"/>
    <w:rsid w:val="00DA4576"/>
    <w:rsid w:val="00E70905"/>
    <w:rsid w:val="00EE2A6A"/>
    <w:rsid w:val="00F157BC"/>
    <w:rsid w:val="00F35EA4"/>
    <w:rsid w:val="00FA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900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EEC"/>
    <w:pPr>
      <w:tabs>
        <w:tab w:val="center" w:pos="4320"/>
        <w:tab w:val="right" w:pos="8640"/>
      </w:tabs>
    </w:pPr>
  </w:style>
  <w:style w:type="character" w:customStyle="1" w:styleId="HeaderChar">
    <w:name w:val="Header Char"/>
    <w:basedOn w:val="DefaultParagraphFont"/>
    <w:link w:val="Header"/>
    <w:uiPriority w:val="99"/>
    <w:rsid w:val="005B5EEC"/>
  </w:style>
  <w:style w:type="paragraph" w:styleId="Footer">
    <w:name w:val="footer"/>
    <w:basedOn w:val="Normal"/>
    <w:link w:val="FooterChar"/>
    <w:uiPriority w:val="99"/>
    <w:unhideWhenUsed/>
    <w:rsid w:val="005B5EEC"/>
    <w:pPr>
      <w:tabs>
        <w:tab w:val="center" w:pos="4320"/>
        <w:tab w:val="right" w:pos="8640"/>
      </w:tabs>
    </w:pPr>
  </w:style>
  <w:style w:type="character" w:customStyle="1" w:styleId="FooterChar">
    <w:name w:val="Footer Char"/>
    <w:basedOn w:val="DefaultParagraphFont"/>
    <w:link w:val="Footer"/>
    <w:uiPriority w:val="99"/>
    <w:rsid w:val="005B5EEC"/>
  </w:style>
  <w:style w:type="paragraph" w:styleId="BalloonText">
    <w:name w:val="Balloon Text"/>
    <w:basedOn w:val="Normal"/>
    <w:link w:val="BalloonTextChar"/>
    <w:uiPriority w:val="99"/>
    <w:semiHidden/>
    <w:unhideWhenUsed/>
    <w:rsid w:val="005B5EEC"/>
    <w:rPr>
      <w:rFonts w:ascii="Lucida Grande" w:hAnsi="Lucida Grande"/>
      <w:sz w:val="18"/>
      <w:szCs w:val="18"/>
    </w:rPr>
  </w:style>
  <w:style w:type="character" w:customStyle="1" w:styleId="BalloonTextChar">
    <w:name w:val="Balloon Text Char"/>
    <w:basedOn w:val="DefaultParagraphFont"/>
    <w:link w:val="BalloonText"/>
    <w:uiPriority w:val="99"/>
    <w:semiHidden/>
    <w:rsid w:val="005B5EEC"/>
    <w:rPr>
      <w:rFonts w:ascii="Lucida Grande" w:hAnsi="Lucida Grande"/>
      <w:sz w:val="18"/>
      <w:szCs w:val="18"/>
    </w:rPr>
  </w:style>
  <w:style w:type="table" w:styleId="TableGrid">
    <w:name w:val="Table Grid"/>
    <w:basedOn w:val="TableNormal"/>
    <w:uiPriority w:val="59"/>
    <w:rsid w:val="005B5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5E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EEC"/>
    <w:pPr>
      <w:tabs>
        <w:tab w:val="center" w:pos="4320"/>
        <w:tab w:val="right" w:pos="8640"/>
      </w:tabs>
    </w:pPr>
  </w:style>
  <w:style w:type="character" w:customStyle="1" w:styleId="HeaderChar">
    <w:name w:val="Header Char"/>
    <w:basedOn w:val="DefaultParagraphFont"/>
    <w:link w:val="Header"/>
    <w:uiPriority w:val="99"/>
    <w:rsid w:val="005B5EEC"/>
  </w:style>
  <w:style w:type="paragraph" w:styleId="Footer">
    <w:name w:val="footer"/>
    <w:basedOn w:val="Normal"/>
    <w:link w:val="FooterChar"/>
    <w:uiPriority w:val="99"/>
    <w:unhideWhenUsed/>
    <w:rsid w:val="005B5EEC"/>
    <w:pPr>
      <w:tabs>
        <w:tab w:val="center" w:pos="4320"/>
        <w:tab w:val="right" w:pos="8640"/>
      </w:tabs>
    </w:pPr>
  </w:style>
  <w:style w:type="character" w:customStyle="1" w:styleId="FooterChar">
    <w:name w:val="Footer Char"/>
    <w:basedOn w:val="DefaultParagraphFont"/>
    <w:link w:val="Footer"/>
    <w:uiPriority w:val="99"/>
    <w:rsid w:val="005B5EEC"/>
  </w:style>
  <w:style w:type="paragraph" w:styleId="BalloonText">
    <w:name w:val="Balloon Text"/>
    <w:basedOn w:val="Normal"/>
    <w:link w:val="BalloonTextChar"/>
    <w:uiPriority w:val="99"/>
    <w:semiHidden/>
    <w:unhideWhenUsed/>
    <w:rsid w:val="005B5EEC"/>
    <w:rPr>
      <w:rFonts w:ascii="Lucida Grande" w:hAnsi="Lucida Grande"/>
      <w:sz w:val="18"/>
      <w:szCs w:val="18"/>
    </w:rPr>
  </w:style>
  <w:style w:type="character" w:customStyle="1" w:styleId="BalloonTextChar">
    <w:name w:val="Balloon Text Char"/>
    <w:basedOn w:val="DefaultParagraphFont"/>
    <w:link w:val="BalloonText"/>
    <w:uiPriority w:val="99"/>
    <w:semiHidden/>
    <w:rsid w:val="005B5EEC"/>
    <w:rPr>
      <w:rFonts w:ascii="Lucida Grande" w:hAnsi="Lucida Grande"/>
      <w:sz w:val="18"/>
      <w:szCs w:val="18"/>
    </w:rPr>
  </w:style>
  <w:style w:type="table" w:styleId="TableGrid">
    <w:name w:val="Table Grid"/>
    <w:basedOn w:val="TableNormal"/>
    <w:uiPriority w:val="59"/>
    <w:rsid w:val="005B5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5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459</Words>
  <Characters>2617</Characters>
  <Application>Microsoft Macintosh Word</Application>
  <DocSecurity>0</DocSecurity>
  <Lines>21</Lines>
  <Paragraphs>6</Paragraphs>
  <ScaleCrop>false</ScaleCrop>
  <Company>UCSF</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Hope</dc:creator>
  <cp:keywords/>
  <dc:description/>
  <cp:lastModifiedBy>Michael Hope</cp:lastModifiedBy>
  <cp:revision>10</cp:revision>
  <dcterms:created xsi:type="dcterms:W3CDTF">2015-07-24T04:20:00Z</dcterms:created>
  <dcterms:modified xsi:type="dcterms:W3CDTF">2018-04-05T19:07:00Z</dcterms:modified>
</cp:coreProperties>
</file>